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pPr>
      <w:r>
        <w:rPr>
          <w:rFonts w:ascii="Calibri" w:hAnsi="Calibri"/>
          <w:b/>
          <w:color w:val="9C793C"/>
          <w:sz w:val="18"/>
        </w:rPr>
        <w:t>NEXNEY   /   REPORT SAMPLE</w:t>
      </w:r>
    </w:p>
    <w:p>
      <w:pPr>
        <w:pStyle w:val="Title"/>
      </w:pPr>
      <w:r>
        <w:rPr>
          <w:rFonts w:ascii="Calibri" w:hAnsi="Calibri"/>
          <w:b w:val="0"/>
          <w:color w:val="000000"/>
          <w:sz w:val="58"/>
        </w:rPr>
        <w:t>Project progress report</w:t>
      </w:r>
    </w:p>
    <w:p>
      <w:pPr>
        <w:spacing w:before="0" w:after="340"/>
      </w:pPr>
      <w:r>
        <w:rPr>
          <w:rFonts w:ascii="Calibri" w:hAnsi="Calibri"/>
          <w:b w:val="0"/>
          <w:color w:val="52675E"/>
          <w:sz w:val="22"/>
        </w:rPr>
        <w:t>A fictional review update for a service website</w:t>
      </w:r>
    </w:p>
    <w:p>
      <w:pPr>
        <w:spacing w:before="0" w:after="280"/>
      </w:pPr>
      <w:r>
        <w:rPr>
          <w:rFonts w:ascii="Calibri" w:hAnsi="Calibri"/>
          <w:b w:val="0"/>
          <w:color w:val="143F37"/>
          <w:sz w:val="22"/>
        </w:rPr>
        <w:t>Example status: the content structure is ready for review. The next useful decision is to confirm the service names before the draft pages are completed.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1"/>
        <w:gridCol w:w="2211"/>
        <w:gridCol w:w="5386"/>
      </w:tblGrid>
      <w:tr>
        <w:trPr>
          <w:cantSplit/>
          <w:tblHeader/>
        </w:trPr>
        <w:tc>
          <w:tcPr>
            <w:tcW w:type="dxa" w:w="2041"/>
            <w:vAlign w:val="center"/>
            <w:tcMar>
              <w:top w:w="115" w:type="dxa"/>
              <w:left w:w="115" w:type="dxa"/>
              <w:bottom w:w="115" w:type="dxa"/>
              <w:right w:w="115" w:type="dxa"/>
            </w:tcMar>
            <w:shd w:fill="DBEEE7"/>
          </w:tcPr>
          <w:p>
            <w:pPr>
              <w:spacing w:after="40" w:line="269" w:lineRule="auto"/>
            </w:pPr>
            <w:r>
              <w:rPr>
                <w:rFonts w:ascii="Calibri" w:hAnsi="Calibri"/>
                <w:b/>
                <w:color w:val="000000"/>
                <w:sz w:val="19"/>
              </w:rPr>
              <w:t>Work area</w:t>
            </w:r>
          </w:p>
        </w:tc>
        <w:tc>
          <w:tcPr>
            <w:tcW w:type="dxa" w:w="2211"/>
            <w:vAlign w:val="center"/>
            <w:tcMar>
              <w:top w:w="115" w:type="dxa"/>
              <w:left w:w="115" w:type="dxa"/>
              <w:bottom w:w="115" w:type="dxa"/>
              <w:right w:w="115" w:type="dxa"/>
            </w:tcMar>
            <w:shd w:fill="DBEEE7"/>
          </w:tcPr>
          <w:p>
            <w:pPr>
              <w:spacing w:after="40" w:line="269" w:lineRule="auto"/>
            </w:pPr>
            <w:r>
              <w:rPr>
                <w:rFonts w:ascii="Calibri" w:hAnsi="Calibri"/>
                <w:b/>
                <w:color w:val="000000"/>
                <w:sz w:val="19"/>
              </w:rPr>
              <w:t>Sample status</w:t>
            </w:r>
          </w:p>
        </w:tc>
        <w:tc>
          <w:tcPr>
            <w:tcW w:type="dxa" w:w="5386"/>
            <w:vAlign w:val="center"/>
            <w:tcMar>
              <w:top w:w="115" w:type="dxa"/>
              <w:left w:w="115" w:type="dxa"/>
              <w:bottom w:w="115" w:type="dxa"/>
              <w:right w:w="115" w:type="dxa"/>
            </w:tcMar>
            <w:shd w:fill="DBEEE7"/>
          </w:tcPr>
          <w:p>
            <w:pPr>
              <w:spacing w:after="40" w:line="269" w:lineRule="auto"/>
            </w:pPr>
            <w:r>
              <w:rPr>
                <w:rFonts w:ascii="Calibri" w:hAnsi="Calibri"/>
                <w:b/>
                <w:color w:val="000000"/>
                <w:sz w:val="19"/>
              </w:rPr>
              <w:t>Evidence or next step</w:t>
            </w:r>
          </w:p>
        </w:tc>
      </w:tr>
      <w:tr>
        <w:trPr>
          <w:cantSplit/>
        </w:trPr>
        <w:tc>
          <w:tcPr>
            <w:tcW w:type="dxa" w:w="2041"/>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Page structure</w:t>
            </w:r>
          </w:p>
        </w:tc>
        <w:tc>
          <w:tcPr>
            <w:tcW w:type="dxa" w:w="2211"/>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Ready for review</w:t>
            </w:r>
          </w:p>
        </w:tc>
        <w:tc>
          <w:tcPr>
            <w:tcW w:type="dxa" w:w="5386"/>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Draft page list and navigation outline.</w:t>
            </w:r>
          </w:p>
        </w:tc>
      </w:tr>
      <w:tr>
        <w:trPr>
          <w:cantSplit/>
        </w:trPr>
        <w:tc>
          <w:tcPr>
            <w:tcW w:type="dxa" w:w="2041"/>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Service copy</w:t>
            </w:r>
          </w:p>
        </w:tc>
        <w:tc>
          <w:tcPr>
            <w:tcW w:type="dxa" w:w="2211"/>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Decision needed</w:t>
            </w:r>
          </w:p>
        </w:tc>
        <w:tc>
          <w:tcPr>
            <w:tcW w:type="dxa" w:w="5386"/>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Confirm the names and purpose of each service.</w:t>
            </w:r>
          </w:p>
        </w:tc>
      </w:tr>
      <w:tr>
        <w:trPr>
          <w:cantSplit/>
        </w:trPr>
        <w:tc>
          <w:tcPr>
            <w:tcW w:type="dxa" w:w="2041"/>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Project images</w:t>
            </w:r>
          </w:p>
        </w:tc>
        <w:tc>
          <w:tcPr>
            <w:tcW w:type="dxa" w:w="2211"/>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Awaiting material</w:t>
            </w:r>
          </w:p>
        </w:tc>
        <w:tc>
          <w:tcPr>
            <w:tcW w:type="dxa" w:w="5386"/>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Supply suitable images and permitted usage.</w:t>
            </w:r>
          </w:p>
        </w:tc>
      </w:tr>
      <w:tr>
        <w:trPr>
          <w:cantSplit/>
        </w:trPr>
        <w:tc>
          <w:tcPr>
            <w:tcW w:type="dxa" w:w="2041"/>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Enquiry route</w:t>
            </w:r>
          </w:p>
        </w:tc>
        <w:tc>
          <w:tcPr>
            <w:tcW w:type="dxa" w:w="2211"/>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Planned</w:t>
            </w:r>
          </w:p>
        </w:tc>
        <w:tc>
          <w:tcPr>
            <w:tcW w:type="dxa" w:w="5386"/>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Test the agreed form and reply destination before release.</w:t>
            </w:r>
          </w:p>
        </w:tc>
      </w:tr>
    </w:tbl>
    <w:p>
      <w:pPr>
        <w:spacing w:before="0" w:after="60"/>
      </w:pPr>
      <w:r>
        <w:rPr>
          <w:rFonts w:ascii="Calibri" w:hAnsi="Calibri"/>
          <w:b w:val="0"/>
          <w:color w:val="143F37"/>
          <w:sz w:val="4"/>
        </w:rPr>
      </w:r>
    </w:p>
    <w:p>
      <w:pPr>
        <w:pStyle w:val="Heading1"/>
      </w:pPr>
      <w:r>
        <w:t>What changed in this example</w:t>
      </w:r>
    </w:p>
    <w:p>
      <w:pPr>
        <w:spacing w:before="0" w:after="140"/>
      </w:pPr>
      <w:r>
        <w:rPr>
          <w:rFonts w:ascii="Calibri" w:hAnsi="Calibri"/>
          <w:b w:val="0"/>
          <w:color w:val="143F37"/>
          <w:sz w:val="21"/>
        </w:rPr>
        <w:t>The initial list of services was grouped into a clearer reading order. The draft now places a relevant work example beside each service, so a visitor can see what the business can help them produce.</w:t>
      </w:r>
    </w:p>
    <w:p>
      <w:pPr>
        <w:pStyle w:val="Heading1"/>
      </w:pPr>
      <w:r>
        <w:t>Decision for the next review</w:t>
      </w:r>
    </w:p>
    <w:p>
      <w:pPr>
        <w:spacing w:before="0" w:after="140"/>
      </w:pPr>
      <w:r>
        <w:rPr>
          <w:rFonts w:ascii="Calibri" w:hAnsi="Calibri"/>
          <w:b w:val="0"/>
          <w:color w:val="143F37"/>
          <w:sz w:val="21"/>
        </w:rPr>
        <w:t>The example business owner needs to confirm the service names and choose the images that can appear publicly. Until those inputs are agreed, the affected pages remain drafts.</w:t>
      </w:r>
    </w:p>
    <w:p>
      <w:pPr>
        <w:pStyle w:val="Heading1"/>
      </w:pPr>
      <w:r>
        <w:t>Next work</w:t>
      </w:r>
    </w:p>
    <w:p>
      <w:pPr>
        <w:spacing w:before="0" w:after="140"/>
      </w:pPr>
      <w:r>
        <w:rPr>
          <w:rFonts w:ascii="Calibri" w:hAnsi="Calibri"/>
          <w:b w:val="0"/>
          <w:color w:val="143F37"/>
          <w:sz w:val="21"/>
        </w:rPr>
        <w:t>Update the copy after the decision, place the selected imagery and review the enquiry journey. If the priorities change, record the revised scope and its effect on the remaining work before proceeding.</w:t>
      </w:r>
    </w:p>
    <w:p>
      <w:pPr>
        <w:spacing w:before="160" w:after="200"/>
      </w:pPr>
      <w:r>
        <w:rPr>
          <w:rFonts w:ascii="Calibri" w:hAnsi="Calibri"/>
          <w:b w:val="0"/>
          <w:color w:val="52675E"/>
          <w:sz w:val="19"/>
        </w:rPr>
        <w:t>Review reference   [Add reference]     Prepared by   [Add name]</w:t>
        <w:br/>
        <w:t>Next check-in   [Agree a date]     Decision owner   [Add name]</w:t>
      </w:r>
    </w:p>
    <w:p>
      <w:pPr>
        <w:spacing w:before="0" w:after="140"/>
      </w:pPr>
      <w:r>
        <w:rPr>
          <w:rFonts w:ascii="Calibri" w:hAnsi="Calibri"/>
          <w:b w:val="0"/>
          <w:color w:val="52675E"/>
          <w:sz w:val="18"/>
        </w:rPr>
        <w:t>All statuses and events on this page are invented to demonstrate the report format. They are not results or delivery claims for a real project.</w:t>
      </w:r>
    </w:p>
    <w:sectPr w:rsidR="00FC693F" w:rsidRPr="0006063C" w:rsidSect="00034616">
      <w:headerReference w:type="default" r:id="rId9"/>
      <w:footerReference w:type="default" r:id="rId10"/>
      <w:pgSz w:w="11906" w:h="16838"/>
      <w:pgMar w:top="1474" w:right="1134" w:bottom="1191" w:left="1134"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tabs>
        <w:tab w:pos="9354" w:val="left"/>
      </w:tabs>
    </w:pPr>
    <w:r>
      <w:rPr>
        <w:rFonts w:ascii="Calibri" w:hAnsi="Calibri"/>
        <w:b w:val="0"/>
        <w:color w:val="52675E"/>
        <w:sz w:val="16"/>
      </w:rPr>
      <w:t>Illustrative template / sample content</w:t>
    </w:r>
    <w:r>
      <w:rPr>
        <w:rFonts w:ascii="Calibri" w:hAnsi="Calibri"/>
        <w:b w:val="0"/>
        <w:color w:val="143F37"/>
        <w:sz w:val="16"/>
      </w:rP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12000" cy="604343"/>
          <wp:docPr id="1" name="Picture 1" descr="Nexney wordmark"/>
          <wp:cNvGraphicFramePr>
            <a:graphicFrameLocks noChangeAspect="1"/>
          </wp:cNvGraphicFramePr>
          <a:graphic>
            <a:graphicData uri="http://schemas.openxmlformats.org/drawingml/2006/picture">
              <pic:pic>
                <pic:nvPicPr>
                  <pic:cNvPr id="0" name="wordmark-clean-star-original.png"/>
                  <pic:cNvPicPr/>
                </pic:nvPicPr>
                <pic:blipFill>
                  <a:blip r:embed="rId1"/>
                  <a:stretch>
                    <a:fillRect/>
                  </a:stretch>
                </pic:blipFill>
                <pic:spPr>
                  <a:xfrm>
                    <a:off x="0" y="0"/>
                    <a:ext cx="1512000" cy="6043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4" w:lineRule="auto" w:after="140"/>
    </w:pPr>
    <w:rPr>
      <w:rFonts w:ascii="Calibri" w:hAnsi="Calibri"/>
      <w:color w:val="143F37"/>
      <w:sz w:val="21"/>
    </w:rPr>
  </w:style>
  <w:style w:type="paragraph" w:styleId="Header">
    <w:name w:val="header"/>
    <w:basedOn w:val="Normal"/>
    <w:link w:val="HeaderChar"/>
    <w:uiPriority w:val="99"/>
    <w:unhideWhenUsed/>
    <w:rsid w:val="00E618BF"/>
    <w:pPr>
      <w:keepNext/>
      <w:tabs>
        <w:tab w:val="center" w:pos="4680"/>
        <w:tab w:val="right" w:pos="9360"/>
      </w:tabs>
      <w:spacing w:after="0" w:line="274"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tabs>
        <w:tab w:val="center" w:pos="4680"/>
        <w:tab w:val="right" w:pos="9360"/>
      </w:tabs>
      <w:spacing w:after="0" w:line="274" w:lineRule="auto"/>
    </w:pPr>
    <w:rPr>
      <w:rFonts w:ascii="Calibri" w:hAnsi="Calibri"/>
      <w:color w:val="143F3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74"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80" w:after="120" w:line="274" w:lineRule="auto"/>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74"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74"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74" w:lineRule="auto"/>
      <w:contextualSpacing/>
    </w:pPr>
    <w:rPr>
      <w:rFonts w:ascii="Calibri" w:hAnsi="Calibri"/>
      <w:color w:val="143F37"/>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progress report</dc:title>
  <dc:subject>Fictional Nexney portfolio document sample</dc:subject>
  <dc:creator>Nexney</dc:creator>
  <cp:keywords>illustrative template, fictional sample, Nexney</cp:keywords>
  <dc:description>Editable portfolio sample. No real client, price, deadline or business result is represented.</dc:description>
  <cp:lastModifiedBy>Nexney</cp:lastModifiedBy>
  <cp:revision>1</cp:revision>
  <dcterms:created xsi:type="dcterms:W3CDTF">2026-10-09T00:00:00Z</dcterms:created>
  <dcterms:modified xsi:type="dcterms:W3CDTF">2026-10-09T00:00:00Z</dcterms:modified>
  <cp:category/>
</cp:coreProperties>
</file>